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6F" w:rsidRPr="001E6574" w:rsidRDefault="00324C6F" w:rsidP="00324C6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E6574">
        <w:rPr>
          <w:rFonts w:ascii="Times New Roman" w:hAnsi="Times New Roman" w:cs="Times New Roman"/>
          <w:b/>
        </w:rPr>
        <w:t xml:space="preserve">Informacja dodatkowa do sprawozdania finansowego </w:t>
      </w:r>
      <w:r w:rsidR="00121E62">
        <w:rPr>
          <w:rFonts w:ascii="Times New Roman" w:hAnsi="Times New Roman" w:cs="Times New Roman"/>
          <w:b/>
        </w:rPr>
        <w:t>Gminy Pacyna</w:t>
      </w:r>
      <w:r w:rsidR="000033A2">
        <w:rPr>
          <w:rFonts w:ascii="Times New Roman" w:hAnsi="Times New Roman" w:cs="Times New Roman"/>
          <w:b/>
        </w:rPr>
        <w:t xml:space="preserve"> za 2020</w:t>
      </w:r>
      <w:r w:rsidRPr="001E6574">
        <w:rPr>
          <w:rFonts w:ascii="Times New Roman" w:hAnsi="Times New Roman" w:cs="Times New Roman"/>
          <w:b/>
        </w:rPr>
        <w:t xml:space="preserve"> rok</w:t>
      </w: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70"/>
      </w:tblGrid>
      <w:tr w:rsidR="00121E62" w:rsidRPr="00E47596" w:rsidTr="00121E62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 w:rsidR="00121E62" w:rsidRPr="00E47596" w:rsidTr="00121E62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1.1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nazwę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Gmina Pacyna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1.2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siedzibę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ul. Wyzwolenia 7, 09-541 Pacyna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1.3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adres jednostki</w:t>
            </w:r>
          </w:p>
        </w:tc>
      </w:tr>
      <w:tr w:rsidR="00121E62" w:rsidRPr="00E47596" w:rsidTr="00881D20">
        <w:trPr>
          <w:trHeight w:hRule="exact" w:val="32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ul. Wyzwolenia 7, 09-541 Pacyna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1.4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B32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8411Z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0033A2" w:rsidP="00003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01.01.2020r. – 31.12.2020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wskazanie,żesprawozdaniefinansowezawieradanełączne,jeżeliwskładjednostkinadrzędnejlubjednostki samorządu terytorialnego wchodzą jednostki sporządzające samodzielne sprawozdania finansowe</w:t>
            </w:r>
          </w:p>
        </w:tc>
      </w:tr>
      <w:tr w:rsidR="00121E62" w:rsidRPr="00E47596" w:rsidTr="00881D20">
        <w:trPr>
          <w:trHeight w:hRule="exact" w:val="59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B32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Sprawozdanie finansowe zawiera dane 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łączne jednostek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>Urzędu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Gminy w Pacynie, Gminnego Ośrodka Pomocy Społecznej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w Pacynie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 Szkoły Podstawowej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w Pacynie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 Przedszkola Samorządowego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w Pacynie,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omówienieprzyjętychzasad(polityki)rachunkowości Gminy Pacyna</w:t>
            </w:r>
            <w:r w:rsidR="00E47596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i jej jednostek budżetowych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,wtymmetodwycenyaktywówipasywów(także amortyzacji)</w:t>
            </w:r>
          </w:p>
        </w:tc>
      </w:tr>
      <w:tr w:rsidR="00121E62" w:rsidRPr="00E47596" w:rsidTr="00121E62">
        <w:trPr>
          <w:trHeight w:hRule="exact" w:val="1120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Aktywa i pasywa wyceniane są przy uwzględnieniu nadrzędnych zasad rachunkowości, w sposób przewidziany ustawą o rachunkowości - informacje wg. załącznika nr 1.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Zasady stosowane w prowadzeniu ksiąg rachunkowych: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trwałe oraz wartości niematerialne i prawne umarza się lub amortyzuje według stawek określonych w przepisach o podatku dochodowym od osób prawnych. Środki trwałe ujmuje się w ewidencji  na koncie 011 (środki trwałe), wartości niematerialne i prawne na koncie 020 (wartości niematerialne i prawne) oraz na koncie 071 (umorzenie środków trwałych oraz wartości niematerialnych i prawnych)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Odpisów umorzeniowych dokonuje się począwszy od miesiąca następującego po miesiącu przyjęcia środka trwałego lub wartości niematerialnej i prawnej do używania.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Zakończenie odpisów umorzeniowych następuje nie później niż z chwilą zrównania odpisów umorzeniowych z wartością początkową środka trwałego lub przeznaczenia go do likwidacji, sprzedaży lub stwierdzenia jego niedoboru.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 początkowa środków trwałych i dotychczas dokonane odpisy umorzeniowe podlegają aktualizacji zgodnie z zasadami określonymi w odrębnych przepisach, a wyniki aktualizacji odnoszone są na fundusz.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Odpisy umorzeniowe środków trwałych oraz wartości niematerialnych i prawnych ujmuje się w księgach rachunkowych na koniec roku budżetowego pod datą 31 grudnia.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Jednorazowo, przez spisanie w koszty w miesiącu przyjęcia do używania, umarza się: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książki i inne zbiory biblioteczne,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87" w:hanging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dydaktyczne służące procesowi dydaktyczno-wychowawczemu realizowanemu w szkołach i placówkach oświatowych,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odzież i umundurowanie,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meble i dywany,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pozostałe środki trwałe (wyposażenie) oraz wartości niematerialne i prawne o wartości mieszczącej się według przepisów podatkowych o zaliczeniu przedmiotu do środka trwałego dla których odpisy amortyzacyjne są uznawane za koszty uzyskania przychodu w 100 % ich wartości w momencie oddania do używania,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pozostałe środki trwałe ujmowane się ewidencji na koncie 013 (pozostałe środki trwałe) i na koncie 072 (umorzenie pozostałych środków trwałych, wartości niematerialnych i prawnych oraz zbiorów bibliotecznych) w wartości początkowej, W bilansie pozostałe środki trwałe nie stanowią żadnej wartości, gdyż są jednorazowo spisywane w koszty (umarzane) w miesiącu przyjęcia ich do używania,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ewidencję ilościowo-wartościową prowadzi się dla następujących grup wyposażenia: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sprzęt komputerowy stanowiący pomoce dydaktyczne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pozostały sprzęt komputerowy o wartości niższej niż wartość decydująca wg. przepisów podatkowych o zaliczeniu przedmiotu do środka trwałego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 sprzęt audiowizualny, maszyny, aparaty, urządzenia oraz pozostały sprzęt techniczny i muzyczny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meble biurowe i szkolne,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71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h)    pozostały sprzęt – wyposażenie podlega tylko ewidencji pozabilansowej ilościowej w księgach   założonych na poszczególne obiekty. Ewidencja ilościowa prowadzona jest dla następującego wyposażenia: drobne pomoce dydaktyczne, sprzęt biurowy i wyposażenie pomieszczeń np. kosze wieszaki.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Nie umarza się gruntów oraz dóbr kultury.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trwałe oraz wartości niematerialne i prawne amortyzuje się metodą liniową.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 dzień bilansowy środki trwałe (z wyjątkiem gruntów) wycenia się w wartości netto tj. z uwzględnieniem odpisów umorzeniowych ustalonych na dzień bilansowy.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Gospodarka materiałowa podlega ewidencji ilościowo-wartościowej i rozchód materiałów wycenia się przy zastosowaniu metody FIFO. Do materiałów objętych gospodarką magazynową zalicza się: opał na cele grzewcze oraz artykuły spożywcze na potrzeby stołówki. 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121E62">
        <w:trPr>
          <w:trHeight w:hRule="exact" w:val="22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Inne istotne informacje w zakresie przyjętychzasad(polityki)rachunkowości.</w:t>
            </w:r>
          </w:p>
        </w:tc>
      </w:tr>
      <w:tr w:rsidR="00121E62" w:rsidRPr="00E47596" w:rsidTr="00121E62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i objaśnienia obejmują w szczególności: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E47596">
        <w:trPr>
          <w:trHeight w:hRule="exact" w:val="128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szczegółowyzakreszmianwartościgruprodzajowychśrodkówtrwałych,wartościniematerialnych i prawnych, zawierający stan tych aktywów na początek roku obrotowego, zwiększenia i zmniejszenia z tytułu: aktualizacji wartości,nabycia,rozchodu,przemieszczeniawewnętrznegoorazstankońcowy,adlamajątkuamortyzowanego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95" w:right="1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– podobne przedstawienie stanów i tytułów zmian dotychczasowej amortyzacji lub umorzenia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2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aktualnąwartośćrynkowąśrodkówtrwałych,wtymdóbrkultury–oilejednostkadysponujetakimiinformacjami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Jednostka nie posiada aktualnej wartości rynkowej środków trwałych.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kwotędokonanychwtrakcierokuobrotowegoodpisówaktualizującychwartośćaktywówtrwałychodrębniedla długoterminowych aktywów niefinansowych oraz długoterminowych aktywów finansowych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E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 roku 2018 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>jednostka nie tworzyła w/w odpisów aktualizujących.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 gruntów użytkowanych wieczyście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Gmina Pacyna nie posiada gruntów w użytkowaniu wieczystym.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wartośćnieamortyzowanychlubnieumarzanychprzezjednostkęśrodkówtrwałych,używanychnapodstawie umów najmu, dzierżawy i innych umów, w tym z tytułu umów leasingu</w:t>
            </w:r>
          </w:p>
        </w:tc>
      </w:tr>
      <w:tr w:rsidR="00121E62" w:rsidRPr="00E47596" w:rsidTr="00121E62">
        <w:trPr>
          <w:trHeight w:hRule="exact" w:val="32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- informacje wg. załącznika nr 3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 xml:space="preserve"> – jednostka nie posiada w/w środków trwałych.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liczbęorazwartośćposiadanychpapierówwartościowych,wtymakcjiiudziałóworazdłużnychpapierów wartościowych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E47596" w:rsidP="00E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Pacyna nie pos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iada w/w papierów wartościowych.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dane oodpisachaktualizujących wartość należności, ze wskazaniem stanu na początek rokuobrotowego,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121E62" w:rsidRPr="00E47596" w:rsidTr="00121E62">
        <w:trPr>
          <w:trHeight w:hRule="exact" w:val="3912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4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Do ewidencji odpisów aktualizujących należności, których spłata zostanie uznana za wątpliwą służy konto 290. Na koniec roku należności wątpliwe i naliczone odsetki od należności ujmuje się zapisem </w:t>
            </w:r>
            <w:proofErr w:type="spellStart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Wn</w:t>
            </w:r>
            <w:proofErr w:type="spellEnd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konta „2” i Ma 720 i jeżeli utworzony zostanie odpis aktualizujący należności wątpliw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to operacja ta zostanie zapisana na stronie Ma konta 290 w korespondencji z kontem 761, będzie to zapis wtórny do wcześniejszego ujęcia odsetek i należności wątpliwych na koncie 720 w korespondencji z kontem 221.</w:t>
            </w:r>
            <w:r w:rsidR="008D646F" w:rsidRPr="00E47596">
              <w:rPr>
                <w:rFonts w:ascii="Times New Roman" w:hAnsi="Times New Roman" w:cs="Times New Roman"/>
                <w:sz w:val="20"/>
                <w:szCs w:val="20"/>
              </w:rPr>
              <w:t>Tworząc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odpisy aktualizujące należy kierować się zasadami określonymi w przepisach art. 35b ustawy o rachunkowości. Z przepisu art. 35b ust. 2 ustawy o rachunkowości wynika, że odpisy aktualizujące należności zalicza się odpowiednio do pozostałych kosztów operacyjnych lub finansowanych, zależnie od rodzaju należności, której odpis należy. Jeżeli zatem należność w momencie zarachowania zwiększyła przychody operacyjne to koszty odpisów aktualizujących należy zaliczyć do pozostałych kosztów operacyjnych konta 761 zgodnie z ustawową definicją pozostałych kosztów operacyjnych (art. 3 ust. 1 pkt. 32 </w:t>
            </w:r>
            <w:proofErr w:type="spellStart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uor</w:t>
            </w:r>
            <w:proofErr w:type="spellEnd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). Jeżeli przypisane należności powodowało zwiększenie przychodów finansowych to koszty odpisów aktualizujących zwiększają koszty finansowe (konto 751). Odpisy aktualizujące należności zgodnie z ustawy o rachunkowości zmniejszają wartość aktywów a zatem winny być zaliczone do kosztów a nie na zmniejszenie przychodów.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daneostanierezerwwedługceluichutworzenianapoczątekrokuobrotowego,zwiększeniach,wykorzystaniu, rozwiązaniu i stanie końcowym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Jednostka nie 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tworzyła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rezerw na zobowiązania.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podział  zobowiązań  długoterminowych  według  pozycji  bilansu  o  pozostałym  od  dnia  bilansowego, przewidywanym umową lub wynikającym z innego tytułu prawnego, okresie spłaty: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1 roku do 3 lat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3 do 5 lat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5 lat</w:t>
            </w:r>
          </w:p>
        </w:tc>
      </w:tr>
      <w:tr w:rsidR="00121E62" w:rsidRPr="00E47596" w:rsidTr="008D646F">
        <w:trPr>
          <w:trHeight w:hRule="exact" w:val="62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  <w:p w:rsidR="008D646F" w:rsidRPr="00E47596" w:rsidRDefault="008D646F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nie posiada zobowiązań długoterminowych.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kwotęzobowiązańwsytuacjigdyjednostkakwalifikuje umowyleasinguzgodniezprzepisami podatkowymi (leasingoperacyjny),awedługprzepisóworachunkowościbyłbytoleasingfinansowylubzwrotnyzpodziałem na kwotę zobowiązań z tytułu leasingu finansowego lub leasingu zwrotnego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umów leasingowych.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łącznąkwotęzobowiązańzabezpieczonychnamajątkujednostkizewskazaniemcharakteruiformytych zabezpieczeń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zabezpieczał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własnych zobowiązań na majątku gminy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 kwotę zobowiązań warunkowych, w tym również udzielonych przez jednostkę gwarancji i poręczeń, także wekslowych, niewykazanych wbilansie, ze wskazaniem zobowiązań zabezpieczonych na majątku jednostki oraz charakteru i formy tych zabezpieczeń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posiada w/w zobowiązań.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121E62" w:rsidRPr="00E47596" w:rsidTr="00D35B68">
        <w:trPr>
          <w:trHeight w:hRule="exact" w:val="73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6</w:t>
            </w:r>
          </w:p>
          <w:p w:rsidR="00D35B68" w:rsidRPr="00E47596" w:rsidRDefault="00D35B68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jednostce nie występują czynne i bierne rozliczenia międzyokresowe.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posiada w/w gwarancji i poręczeń.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 wypłaconych środków pieniężnych na świadczenia pracownicze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7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121E62">
        <w:trPr>
          <w:trHeight w:hRule="exact" w:val="71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Wyłączenia z tytułu rozliczeń w</w:t>
            </w:r>
            <w:r w:rsidR="000033A2">
              <w:rPr>
                <w:rFonts w:ascii="Times New Roman" w:hAnsi="Times New Roman" w:cs="Times New Roman"/>
                <w:sz w:val="20"/>
                <w:szCs w:val="20"/>
              </w:rPr>
              <w:t>ystępujących na dzień 31.12.2020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roku pomiędzy jednostkami.</w:t>
            </w:r>
          </w:p>
          <w:p w:rsidR="00121E62" w:rsidRPr="00E47596" w:rsidRDefault="00121E62" w:rsidP="00CF1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Nie wystąpiły 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 xml:space="preserve">wyłączenia tytułem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rozlicze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pomiędzy 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>jednostkami budżetowymi Gminy Pacyna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wysokość odpisów aktualizujących wartość zapasów</w:t>
            </w:r>
          </w:p>
        </w:tc>
      </w:tr>
      <w:tr w:rsidR="00121E62" w:rsidRPr="00E47596" w:rsidTr="006A1823">
        <w:trPr>
          <w:trHeight w:hRule="exact" w:val="67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8</w:t>
            </w:r>
          </w:p>
          <w:p w:rsidR="006A1823" w:rsidRPr="00E47596" w:rsidRDefault="006A1823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tworzono odpisów aktualizujących wartość zapasów.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121E62" w:rsidRPr="00E47596" w:rsidTr="003C1207">
        <w:trPr>
          <w:trHeight w:hRule="exact" w:val="44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A1823" w:rsidRPr="00E47596" w:rsidRDefault="00121E62" w:rsidP="003C120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informacje wg. załącznika nr 9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kwotęicharakterposzczególnychpozycjiprzychodówlubkosztówonadzwyczajnejwartościlubktórewystąpiły incydentalnie</w:t>
            </w:r>
          </w:p>
        </w:tc>
      </w:tr>
      <w:tr w:rsidR="00121E62" w:rsidRPr="00E47596" w:rsidTr="006A1823">
        <w:trPr>
          <w:trHeight w:hRule="exact" w:val="69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10</w:t>
            </w:r>
          </w:p>
          <w:p w:rsidR="00121E62" w:rsidRPr="00E47596" w:rsidRDefault="006A1823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jednostce nie wystąpiły w/w przychody i koszty. 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Nie dotyczy.</w:t>
            </w:r>
          </w:p>
        </w:tc>
      </w:tr>
      <w:tr w:rsidR="00121E62" w:rsidRPr="00E47596" w:rsidTr="004F4880">
        <w:trPr>
          <w:trHeight w:hRule="exact" w:val="30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EB3AE8">
        <w:trPr>
          <w:trHeight w:hRule="exact" w:val="171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4F4880" w:rsidRDefault="00121E62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 tym:</w:t>
            </w:r>
          </w:p>
          <w:p w:rsidR="00121E62" w:rsidRDefault="004F4880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informacje o środkach zgromadzonych na rachunku VAT</w:t>
            </w:r>
            <w:r w:rsidR="00881D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E2C7E">
              <w:rPr>
                <w:rFonts w:ascii="Times New Roman" w:hAnsi="Times New Roman" w:cs="Times New Roman"/>
                <w:sz w:val="20"/>
                <w:szCs w:val="20"/>
              </w:rPr>
              <w:t>a koniec 2020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 xml:space="preserve"> nie wystąpiły w jednostce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środki na rachunku VAT.</w:t>
            </w:r>
          </w:p>
          <w:p w:rsidR="00881D20" w:rsidRDefault="004F4880" w:rsidP="004F4880">
            <w:pPr>
              <w:pStyle w:val="Default"/>
              <w:ind w:lef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informacja dotycząca łącznego zestawienia zmian </w:t>
            </w:r>
            <w:r w:rsidR="00003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funduszu Gminy Pacyna za 2020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rok </w:t>
            </w:r>
          </w:p>
          <w:p w:rsidR="004F4880" w:rsidRPr="00E47596" w:rsidRDefault="004F4880" w:rsidP="00EB3A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Inneinformacjeniżwymienionepowyżej,jeżelimogłybywistotnysposóbwpłynąćnaocenęsytuacjimajątkowej i finansowej oraz wynik finansowy jednostki</w:t>
            </w:r>
          </w:p>
        </w:tc>
      </w:tr>
      <w:tr w:rsidR="00121E62" w:rsidRPr="00E47596" w:rsidTr="00881D20">
        <w:trPr>
          <w:trHeight w:hRule="exact" w:val="219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informacje o znaczących zdarzeniach, dotyczących lat ubiegłych, ujętych w sprawozd</w:t>
            </w:r>
            <w:r w:rsidR="00F173F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aniu finansowym roku obrotowego – nie wystąpiły,</w:t>
            </w:r>
          </w:p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informacje o znaczących zdarzeniach, jakie nastąpiły po dniu bilansowym, a nieuwzględni</w:t>
            </w:r>
            <w:r w:rsidR="00F173F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onych w sprawozdaniu finansowym – nie wystąpiły,</w:t>
            </w:r>
          </w:p>
          <w:p w:rsidR="00121E62" w:rsidRPr="00E47596" w:rsidRDefault="00F173F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zmiany w polityce rachunkowości – nie wystąpiły,</w:t>
            </w:r>
          </w:p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aktywów i pasywów dot. Państwowych Funduszy Celowych (np. PFRON, Fundusz Pracy)</w:t>
            </w:r>
            <w:r w:rsidR="00F173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nie wystąpiły</w:t>
            </w: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121E62" w:rsidRDefault="00F173F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wystąpiły inne z</w:t>
            </w: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rzenia</w:t>
            </w:r>
            <w:r w:rsidR="00121E62"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mający wpływ na ocenę sytuacji majątkowej i fina</w:t>
            </w:r>
            <w:r w:rsidR="006A1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nsowej Gminy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Pacyna </w:t>
            </w:r>
            <w:r w:rsidR="00003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2020</w:t>
            </w:r>
            <w:r w:rsidR="006A1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rok,</w:t>
            </w:r>
          </w:p>
          <w:p w:rsidR="00121E62" w:rsidRPr="00E47596" w:rsidRDefault="00121E62" w:rsidP="004F4880">
            <w:pPr>
              <w:pStyle w:val="Default"/>
              <w:ind w:lef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D104BE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84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4-29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84152C" w:rsidRDefault="0084152C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881D20" w:rsidRDefault="00881D20" w:rsidP="00324C6F">
      <w:pPr>
        <w:spacing w:line="360" w:lineRule="auto"/>
        <w:contextualSpacing/>
      </w:pPr>
    </w:p>
    <w:p w:rsidR="003C1207" w:rsidRDefault="003C1207" w:rsidP="00324C6F">
      <w:pPr>
        <w:spacing w:line="360" w:lineRule="auto"/>
        <w:contextualSpacing/>
      </w:pPr>
    </w:p>
    <w:p w:rsidR="00E47596" w:rsidRDefault="00E47596" w:rsidP="00324C6F">
      <w:pPr>
        <w:spacing w:line="360" w:lineRule="auto"/>
        <w:contextualSpacing/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92"/>
        <w:gridCol w:w="6095"/>
        <w:gridCol w:w="1276"/>
        <w:gridCol w:w="1777"/>
      </w:tblGrid>
      <w:tr w:rsidR="00324C6F" w:rsidRPr="007D003B" w:rsidTr="00C90621">
        <w:trPr>
          <w:trHeight w:val="40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28"/>
          </w:p>
          <w:p w:rsidR="00324C6F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Pkt.I.4. Informacji dodatkowej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Przyjęte zasady (polityki) rachunkowości, w tym metody wyceny aktywów i pasywów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Metody wyceny aktywów i pasywów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71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8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kosztów wytworzenia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8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1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kosztów wytworzenia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trwałe w budowie (inwestycje)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wysokości ogółu kosztów pozostających w bezpośrednim związku z ich nabyciem lub wytworzeniem, pomniejszonych o 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39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w innych jednostkach oraz inne inwestycje zaliczone do aktywów trwałych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nabycia pomniejszonej o odpisy z tytułu trwałej utraty wartości lub według wartości godziwej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w jednostkach podporządkowanych zaliczone do aktywów trwałych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nabycia pomniejszonej o odpisy z tytułu trwałej utraty wartości lub według wartości godziwej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3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metodą praw własności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(wartości) rynkowej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7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ceny nabycia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ceny (wartości) rynkowej, zależnie od tego, która z nich jest niższa albo według skorygowanej ceny nabycia, jeżeli dla danego składnika aktywów został określony termin wymagalności, a krótkoterminowe inwestycje, dla których nie istnieje aktywny rynek, w inny sposób określonej wartości godziwej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Rzeczowe składniki aktywów obrotowych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 nabycia lub kosztów wytworzenia nie wyższych od cen ich sprzedaży netto na dzień bilansowy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Należności i udzielone pożyczki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kwocie wymaganej zapłaty, z zachowaniem zasady ostrożności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2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kwocie wymagającej zapłaty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 czym zobowiązania finansowe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nabycia, a jeżeli jednostka przeznacza je do sprzedaży w okresie do 3 miesięcy, to według wartości rynkowej lub inaczej określonej wartości godziwej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uzasadnionej, wiarygodnie oszacowanej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 nabycia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Kapitały (fundusze) własne oraz pozostałe aktywa i pasywa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wartości nominalnej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4C546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  <w:r w:rsid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4-29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114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29"/>
        <w:gridCol w:w="988"/>
        <w:gridCol w:w="1129"/>
        <w:gridCol w:w="900"/>
        <w:gridCol w:w="937"/>
        <w:gridCol w:w="988"/>
        <w:gridCol w:w="900"/>
        <w:gridCol w:w="937"/>
        <w:gridCol w:w="941"/>
        <w:gridCol w:w="897"/>
        <w:gridCol w:w="836"/>
      </w:tblGrid>
      <w:tr w:rsidR="00AD7400" w:rsidRPr="00EA340E" w:rsidTr="000033A2">
        <w:trPr>
          <w:trHeight w:val="405"/>
        </w:trPr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Załącznik nr 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0033A2">
        <w:trPr>
          <w:trHeight w:val="405"/>
        </w:trPr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Pkt.II.1.1. Informacji dodatkowej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ind w:right="-106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0033A2">
        <w:trPr>
          <w:trHeight w:val="405"/>
        </w:trPr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Główne składniki aktywów trwałych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0033A2">
        <w:trPr>
          <w:trHeight w:val="4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0531" w:rsidRPr="00EA340E" w:rsidTr="000033A2">
        <w:trPr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Lp.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 xml:space="preserve">Nazwa grupy rodzajowej składnika aktywów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początek roku obrotowego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zwiększenie wartości (aktualizacja, przychody, przemieszczenie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zmniejszenie wartości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(aktualizacja, zbycie, likwidacja, inne)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A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(3+4-5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netto składników aktywów</w:t>
            </w:r>
          </w:p>
        </w:tc>
      </w:tr>
      <w:tr w:rsidR="00AD7400" w:rsidRPr="00EA340E" w:rsidTr="000033A2">
        <w:trPr>
          <w:trHeight w:val="1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początek roku obrotowego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Zwiększenie umorzenia (aktualizacja, amortyzacja za rok obrotowy)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Zmniejszenie umorzenia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A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(7+8-9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stan n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 początek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(3-7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st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(6-10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</w:tr>
      <w:tr w:rsidR="00AD7400" w:rsidRPr="00EA340E" w:rsidTr="000033A2">
        <w:trPr>
          <w:trHeight w:val="2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  <w:r w:rsidR="00324C6F"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0033A2" w:rsidRPr="00EA340E" w:rsidTr="000033A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  <w:t>Wartości niematerialne i prawne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178487,42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17832,00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196319,42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175140,54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7884,28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183024,82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3346,88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13294,60</w:t>
            </w:r>
          </w:p>
        </w:tc>
      </w:tr>
      <w:tr w:rsidR="000033A2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  <w:t>Środki trwałe: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B6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25111791,20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487557,08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53712,75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25545635,53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C7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14060222,81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991A70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10372</w:t>
            </w:r>
            <w:r w:rsidR="00DC0FF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20,30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96677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29571,29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96677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15067871,82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C7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11051568,39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96677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10477763,71</w:t>
            </w:r>
          </w:p>
        </w:tc>
      </w:tr>
      <w:tr w:rsidR="000033A2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Grunty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608856,10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10851,83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8230,00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E6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608856,10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</w:tr>
      <w:tr w:rsidR="000033A2" w:rsidRPr="00EA340E" w:rsidTr="000033A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 xml:space="preserve">Budynki i lokale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4008664,51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E6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286973,80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34186,40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723135" w:rsidP="00E6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4261451,91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1456980,11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98512,87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29571,29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1525921,69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2551684,40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2735530,22</w:t>
            </w:r>
          </w:p>
        </w:tc>
      </w:tr>
      <w:tr w:rsidR="000033A2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Obiekty inżynierii lądowej i wodnej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18739568,92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182059,55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18921628,47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11264169,98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773810,13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12037980,11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7475398,94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6883648,36</w:t>
            </w:r>
          </w:p>
        </w:tc>
      </w:tr>
      <w:tr w:rsidR="000033A2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Kotły i maszyny energetyczne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0033A2" w:rsidRPr="00EA340E" w:rsidTr="000033A2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Maszyny, urządzenia i aparaty ogólnego zastosowania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C7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229595,65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7671,90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11296,35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225971,20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194125,46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16586,10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96677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210711,56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35470,19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96677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15259,64</w:t>
            </w:r>
          </w:p>
        </w:tc>
      </w:tr>
      <w:tr w:rsidR="000033A2" w:rsidRPr="00EA340E" w:rsidTr="000033A2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Maszyny, urządzenia i aparaty specjalistyczne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18389,60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787,50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787,50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</w:tr>
      <w:tr w:rsidR="000033A2" w:rsidRPr="00EA340E" w:rsidTr="000033A2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Urządzenia techniczne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207842,18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1339,20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209181,38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2287,80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948,60</w:t>
            </w:r>
          </w:p>
        </w:tc>
      </w:tr>
      <w:tr w:rsidR="000033A2" w:rsidRPr="00EA340E" w:rsidTr="000033A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Środki transportu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1263455,54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1263455,54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887292,08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145264,50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1032556,58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376163,46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230898,96</w:t>
            </w:r>
          </w:p>
        </w:tc>
      </w:tr>
      <w:tr w:rsidR="000033A2" w:rsidRPr="00EA340E" w:rsidTr="000033A2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Inne środki trwałe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32343,40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32343,40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31423,40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32343,40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920,00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</w:tr>
      <w:tr w:rsidR="000033A2" w:rsidRPr="00EA340E" w:rsidTr="000033A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Inwentarz żywy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0033A2" w:rsidRPr="00EA340E" w:rsidTr="000033A2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Pozostałe w</w:t>
            </w:r>
            <w:r w:rsidRPr="00AD7400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yposażenie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707934,18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152408,62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57230,39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803112,41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707934,18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152408,62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57230,39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803112,41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</w:tr>
      <w:tr w:rsidR="000033A2" w:rsidRPr="00EA340E" w:rsidTr="000033A2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Default="000033A2" w:rsidP="0000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Księgozbiór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113029,92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17104,95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30516,89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D104BE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99617,98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113029,92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17104,95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30516,89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0033A2" w:rsidRPr="00AD7400" w:rsidRDefault="00DC0FF7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99617,98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A2" w:rsidRPr="00AD7400" w:rsidRDefault="000033A2" w:rsidP="000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</w:tr>
    </w:tbl>
    <w:p w:rsidR="00121E62" w:rsidRPr="00DE2C68" w:rsidRDefault="00121E62" w:rsidP="00DE2C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E2C68">
        <w:rPr>
          <w:rFonts w:ascii="Times New Roman" w:hAnsi="Times New Roman" w:cs="Times New Roman"/>
          <w:sz w:val="16"/>
          <w:szCs w:val="16"/>
        </w:rPr>
        <w:t>Objaśnienie</w:t>
      </w:r>
    </w:p>
    <w:p w:rsidR="00324C6F" w:rsidRPr="00DE2C68" w:rsidRDefault="00324C6F" w:rsidP="00DE2C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308"/>
        <w:gridCol w:w="1122"/>
        <w:gridCol w:w="974"/>
        <w:gridCol w:w="96"/>
        <w:gridCol w:w="1270"/>
        <w:gridCol w:w="1338"/>
        <w:gridCol w:w="1482"/>
        <w:gridCol w:w="1099"/>
        <w:gridCol w:w="31"/>
        <w:gridCol w:w="110"/>
        <w:gridCol w:w="1829"/>
        <w:gridCol w:w="601"/>
      </w:tblGrid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D104BE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4-29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531" w:rsidRDefault="00ED0531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D0531" w:rsidRDefault="00ED0531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Pkt.II.1.5. Informacji dodatkowej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nieamortyzowane i nieumarzane *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276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60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według KŚT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w trakcie roku obrotowego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(3+4-5)</w:t>
            </w:r>
          </w:p>
        </w:tc>
      </w:tr>
      <w:tr w:rsidR="00324C6F" w:rsidRPr="00EA340E" w:rsidTr="00C90621">
        <w:trPr>
          <w:gridAfter w:val="1"/>
          <w:wAfter w:w="601" w:type="dxa"/>
          <w:trHeight w:val="60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264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Grunty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1104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i lokale oraz spółdzielcze prawo do lokalu użytkowego i spółdzielcze własnościowe prawo do lokalu mieszkalnego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Obiekty inżynierii lądowej i wodnej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Kotły i maszyny energetyczne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Maszyny, urządzenia i aparaty ogólnego zastosowania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Maszyny, urządzenia i aparaty specjalistyczne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6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techniczne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transportu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Inwentarz żywy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Before w:val="1"/>
          <w:wBefore w:w="127" w:type="dxa"/>
          <w:trHeight w:val="264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Before w:val="1"/>
          <w:wBefore w:w="127" w:type="dxa"/>
          <w:trHeight w:val="264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D104BE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-04-29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tbl>
      <w:tblPr>
        <w:tblW w:w="1000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60"/>
        <w:gridCol w:w="1960"/>
        <w:gridCol w:w="1460"/>
        <w:gridCol w:w="1600"/>
        <w:gridCol w:w="1260"/>
      </w:tblGrid>
      <w:tr w:rsidR="00324C6F" w:rsidRPr="00EA340E" w:rsidTr="00BC51A4">
        <w:trPr>
          <w:trHeight w:val="40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40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Pkt.II.1.7. Informacji dodatkowej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40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odpisów aktualizujących wartość należności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7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należności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odpisów w ciągu roku obrotowego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BC51A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zwiększenia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zmniejszenia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Należności budżetowe</w:t>
            </w:r>
            <w:r w:rsidR="00BC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 w tym: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836725,18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336374,51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254767,32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918332,37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należności główne - </w:t>
            </w:r>
            <w:r w:rsidR="00F42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instrText xml:space="preserve"> LISTNUM </w:instrText>
            </w:r>
            <w:r w:rsidR="00F42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wątpliwe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593378,65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59392,00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11420,79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641349,86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243346,53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276982,51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243346,53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0E2C7E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276982,51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4C546B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 w:rsidR="000E2C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1-04-29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7D003B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BC51A4" w:rsidRDefault="00BC51A4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BC51A4" w:rsidRDefault="00BC51A4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873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72"/>
        <w:gridCol w:w="1271"/>
        <w:gridCol w:w="987"/>
        <w:gridCol w:w="1412"/>
        <w:gridCol w:w="1413"/>
        <w:gridCol w:w="987"/>
        <w:gridCol w:w="1271"/>
      </w:tblGrid>
      <w:tr w:rsidR="00324C6F" w:rsidRPr="00EA340E" w:rsidTr="00C90621">
        <w:trPr>
          <w:trHeight w:val="405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Pkt.II.1.9. Informacji dodatkowej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według okresów wymagalności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wobec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wymagalności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(4+5+6+7)</w:t>
            </w:r>
          </w:p>
        </w:tc>
      </w:tr>
      <w:tr w:rsidR="00324C6F" w:rsidRPr="00EA340E" w:rsidTr="00C90621">
        <w:trPr>
          <w:trHeight w:val="6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 roku do 3 lat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3 lat do 5 lat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 tytułu dostaw i usług z tytułu dostaw i usług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wobec budżetów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 tytułu ubezpieczeń i innych świadczeń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 tytułu wynagrodzeń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zobowiązania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Sumy obce (depozytowe, zabezpieczenie wykonania umów)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8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5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D104BE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  <w:r w:rsidR="0084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-04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</w:t>
            </w:r>
            <w:r w:rsidR="0084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1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700"/>
        <w:gridCol w:w="2140"/>
        <w:gridCol w:w="1860"/>
      </w:tblGrid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Pkt.II.1.13. Informacji dodatkowej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Istotne pozycje rozliczeń międzyokresowych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7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(tytuły)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C9062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4C6F" w:rsidRPr="00EA340E" w:rsidTr="00C90621">
        <w:trPr>
          <w:trHeight w:val="8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czynne rozliczenia międzyokresowe kosztów, w tym: wyszczególnić ważniejsze tytuły figurujące w księgach rachunkowych, np.: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 - koszty uruchomienia nowej produkcji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 - opłacone z góry czynsze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prenumeraty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polisy ubezpieczenia osób i składników majątku)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inne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rozliczenia międzyokresowe przychodów, w tym: wyszczególnić ważniejsze tytuły figurujące w księgach rachunkowych, np.: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ujemna wartość firmy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wielkość dotacji na budowę środków trwałych, na prace rozwojowe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wartość nieodpłatnie otrzymanych środków trwałych)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inne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D104BE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212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21"/>
        <w:gridCol w:w="2131"/>
      </w:tblGrid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Pkt.II.1.15. Informacji dodatkowej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Wypłacone świadczenia pracownicze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wypłaconych środków pieniężnych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24C6F" w:rsidRPr="00EA340E" w:rsidTr="00C90621">
        <w:trPr>
          <w:trHeight w:val="495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pracownicze: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E4321A" w:rsidP="0017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5552228,20</w:t>
            </w:r>
          </w:p>
        </w:tc>
      </w:tr>
      <w:tr w:rsidR="00324C6F" w:rsidRPr="00EA340E" w:rsidTr="00324C6F">
        <w:trPr>
          <w:trHeight w:val="8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85" w:rsidRDefault="00886785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wynagrodzeń z osobami fizycznymi zatrudnionymi na podstawie umowy o pracę, umowy zlecenia, umowy o dzieło, umowy agencyjnej i innych umów  zgodnie z odrębnymi przepisami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E4321A" w:rsidP="0066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4271847,16</w:t>
            </w:r>
          </w:p>
        </w:tc>
      </w:tr>
      <w:tr w:rsidR="00324C6F" w:rsidRPr="00EA340E" w:rsidTr="00324C6F">
        <w:trPr>
          <w:trHeight w:val="10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ubezpieczeń społecznych i innych świadczeń na rzecz pracowników i osób fizycznych zatrudnionych na podstawie umowy o pracę, umowy zlecenia, umowy o dzieło, umowy agencyjnej i innych umów, które nie są zaliczane do wynagrodzeń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E4321A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780758,49</w:t>
            </w:r>
          </w:p>
        </w:tc>
      </w:tr>
      <w:tr w:rsidR="00324C6F" w:rsidRPr="00EA340E" w:rsidTr="00324C6F">
        <w:trPr>
          <w:trHeight w:val="5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E4321A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305579,89</w:t>
            </w:r>
          </w:p>
        </w:tc>
      </w:tr>
      <w:tr w:rsidR="00324C6F" w:rsidRPr="00EA340E" w:rsidTr="00324C6F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wyrównanie roczne nauczycieli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E4321A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19019,14</w:t>
            </w:r>
          </w:p>
        </w:tc>
      </w:tr>
      <w:tr w:rsidR="00324C6F" w:rsidRPr="00EA340E" w:rsidTr="00324C6F">
        <w:trPr>
          <w:trHeight w:val="9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(w tym premie, nagrody jubileuszowe i inne, odprawy w związku z przejściem na emeryturę lub rentę z tytułu niezdolności do pracy, odprawa pieniężna w związku z rozwiązaniem stosunku pracy, świadczenia niepieniężne, </w:t>
            </w:r>
            <w:r w:rsidR="00886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ryczałt, </w:t>
            </w: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itp.)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E4321A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175023,52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D104BE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2021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-2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3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480"/>
        <w:gridCol w:w="1580"/>
        <w:gridCol w:w="1540"/>
        <w:gridCol w:w="1340"/>
      </w:tblGrid>
      <w:tr w:rsidR="00324C6F" w:rsidRPr="00EA340E" w:rsidTr="00C90621">
        <w:trPr>
          <w:trHeight w:val="40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Pkt.II.2.1. Informacji dodatkowej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Wysokość odpisów aktualizujących wartość zapasów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7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(rodzaj zapasów)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D104BE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2021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-04-29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63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329"/>
        <w:gridCol w:w="1848"/>
      </w:tblGrid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Pkt.II.2.2. Informacji dodatkowej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w budowie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wytworze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nia środków trwałych w budowie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EB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2F2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  <w:r w:rsidR="00EB3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324C6F" w:rsidRPr="00EA340E" w:rsidTr="00C90621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odsetki oraz różnice kursowe, które powiększyły koszt wytworzenia środków trwałych w budowie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2F2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EB3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="002F2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B3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D104BE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488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261"/>
        <w:gridCol w:w="2278"/>
        <w:gridCol w:w="2415"/>
      </w:tblGrid>
      <w:tr w:rsidR="00324C6F" w:rsidRPr="00EA340E" w:rsidTr="00C90621">
        <w:trPr>
          <w:trHeight w:val="40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10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Pkt.II.2.3. Informacji dodatkowej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i koszty o nadzwyczajnej wartości lub które wystąpiły incydentalnie</w:t>
            </w:r>
          </w:p>
        </w:tc>
      </w:tr>
      <w:tr w:rsidR="00324C6F" w:rsidRPr="00EA340E" w:rsidTr="00C90621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Poprzedni rok obrotowy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Bieżący rok obrotowy</w:t>
            </w:r>
          </w:p>
        </w:tc>
      </w:tr>
      <w:tr w:rsidR="00324C6F" w:rsidRPr="00EA340E" w:rsidTr="00C90621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 nadzwyczajnej wartości,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które wystąpiły incydentalnie,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 nadzwyczajnej wartości,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które wystąpiły incydentalnie,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85"/>
        <w:gridCol w:w="2571"/>
      </w:tblGrid>
      <w:tr w:rsidR="00324C6F" w:rsidRPr="00EA340E" w:rsidTr="00966777">
        <w:trPr>
          <w:trHeight w:val="211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D104BE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2021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-04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-2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Default="00324C6F" w:rsidP="00C90621">
            <w:pPr>
              <w:spacing w:line="360" w:lineRule="auto"/>
              <w:contextualSpacing/>
            </w:pPr>
          </w:p>
          <w:p w:rsidR="00324C6F" w:rsidRDefault="00324C6F" w:rsidP="00C90621">
            <w:pPr>
              <w:spacing w:line="360" w:lineRule="auto"/>
              <w:contextualSpacing/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:rsidR="00D44E38" w:rsidRDefault="00D44E38" w:rsidP="00966777">
      <w:bookmarkStart w:id="1" w:name="_GoBack"/>
      <w:bookmarkEnd w:id="1"/>
    </w:p>
    <w:sectPr w:rsidR="00D44E38" w:rsidSect="00C9062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F30"/>
    <w:multiLevelType w:val="hybridMultilevel"/>
    <w:tmpl w:val="71BE1E9E"/>
    <w:lvl w:ilvl="0" w:tplc="A2645D8E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">
    <w:nsid w:val="29D459C7"/>
    <w:multiLevelType w:val="hybridMultilevel"/>
    <w:tmpl w:val="26D2CA4C"/>
    <w:lvl w:ilvl="0" w:tplc="225C96A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6BC03CC"/>
    <w:multiLevelType w:val="hybridMultilevel"/>
    <w:tmpl w:val="171868A2"/>
    <w:lvl w:ilvl="0" w:tplc="3E362D8E">
      <w:start w:val="1"/>
      <w:numFmt w:val="lowerLetter"/>
      <w:lvlText w:val="%1)"/>
      <w:lvlJc w:val="left"/>
      <w:pPr>
        <w:ind w:left="7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3">
    <w:nsid w:val="3B9E6C66"/>
    <w:multiLevelType w:val="hybridMultilevel"/>
    <w:tmpl w:val="AA84FEF0"/>
    <w:lvl w:ilvl="0" w:tplc="890ADA2C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3F26435F"/>
    <w:multiLevelType w:val="hybridMultilevel"/>
    <w:tmpl w:val="8D56C202"/>
    <w:lvl w:ilvl="0" w:tplc="890AD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386"/>
    <w:rsid w:val="000033A2"/>
    <w:rsid w:val="00073F5F"/>
    <w:rsid w:val="000E2C7E"/>
    <w:rsid w:val="000E5DD6"/>
    <w:rsid w:val="00121E62"/>
    <w:rsid w:val="001767CC"/>
    <w:rsid w:val="0023169E"/>
    <w:rsid w:val="002F274E"/>
    <w:rsid w:val="0031729B"/>
    <w:rsid w:val="00324C6F"/>
    <w:rsid w:val="003B55B0"/>
    <w:rsid w:val="003C1207"/>
    <w:rsid w:val="0047560B"/>
    <w:rsid w:val="004C546B"/>
    <w:rsid w:val="004E382A"/>
    <w:rsid w:val="004F4880"/>
    <w:rsid w:val="00520010"/>
    <w:rsid w:val="005861D9"/>
    <w:rsid w:val="00664374"/>
    <w:rsid w:val="006A1823"/>
    <w:rsid w:val="006F6EE4"/>
    <w:rsid w:val="007117DB"/>
    <w:rsid w:val="00723135"/>
    <w:rsid w:val="007415A9"/>
    <w:rsid w:val="0084152C"/>
    <w:rsid w:val="00881D20"/>
    <w:rsid w:val="00886785"/>
    <w:rsid w:val="008D606D"/>
    <w:rsid w:val="008D646F"/>
    <w:rsid w:val="00953CF5"/>
    <w:rsid w:val="00966777"/>
    <w:rsid w:val="00991A70"/>
    <w:rsid w:val="009D1379"/>
    <w:rsid w:val="00AD7400"/>
    <w:rsid w:val="00B329AF"/>
    <w:rsid w:val="00B67CC8"/>
    <w:rsid w:val="00BC51A4"/>
    <w:rsid w:val="00C767C4"/>
    <w:rsid w:val="00C90621"/>
    <w:rsid w:val="00CF17AF"/>
    <w:rsid w:val="00D104BE"/>
    <w:rsid w:val="00D35B68"/>
    <w:rsid w:val="00D44E38"/>
    <w:rsid w:val="00DC0FF7"/>
    <w:rsid w:val="00DE2C68"/>
    <w:rsid w:val="00E31F08"/>
    <w:rsid w:val="00E4321A"/>
    <w:rsid w:val="00E47596"/>
    <w:rsid w:val="00E6736B"/>
    <w:rsid w:val="00EB3AE8"/>
    <w:rsid w:val="00ED0531"/>
    <w:rsid w:val="00F173F2"/>
    <w:rsid w:val="00F414AE"/>
    <w:rsid w:val="00F425C4"/>
    <w:rsid w:val="00F63C92"/>
    <w:rsid w:val="00F74164"/>
    <w:rsid w:val="00FA038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E863E-C1A0-45BB-953C-194AD33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C6F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C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0AE8-2A04-4233-A9C2-839927D3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3472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2021-04-29T09:38:00Z</cp:lastPrinted>
  <dcterms:created xsi:type="dcterms:W3CDTF">2021-04-26T06:14:00Z</dcterms:created>
  <dcterms:modified xsi:type="dcterms:W3CDTF">2021-05-05T06:39:00Z</dcterms:modified>
</cp:coreProperties>
</file>