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43" w:rsidRDefault="00641543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5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Objaśnienie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Uchwały nr </w:t>
      </w:r>
      <w:r w:rsidR="000913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109/XX/2021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Rady</w:t>
      </w:r>
      <w:r w:rsidRPr="006415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Gminy Pacyna z dnia </w:t>
      </w:r>
      <w:r w:rsidR="0009138E">
        <w:rPr>
          <w:rFonts w:ascii="Times New Roman" w:hAnsi="Times New Roman" w:cs="Times New Roman"/>
          <w:b/>
          <w:bCs/>
          <w:sz w:val="24"/>
          <w:szCs w:val="24"/>
          <w:u w:val="single"/>
        </w:rPr>
        <w:t>30.03.2021r.</w:t>
      </w:r>
    </w:p>
    <w:p w:rsidR="005456DA" w:rsidRPr="00641543" w:rsidRDefault="005456DA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1543" w:rsidRDefault="00641543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Wprowadza się następujące zmiany w Wieloletniej Prognozie Fina</w:t>
      </w:r>
      <w:r>
        <w:rPr>
          <w:rFonts w:ascii="Times New Roman" w:hAnsi="Times New Roman" w:cs="Times New Roman"/>
          <w:sz w:val="24"/>
          <w:szCs w:val="24"/>
        </w:rPr>
        <w:t>nsowej Gminy Pacyna na lata 2021</w:t>
      </w:r>
      <w:r w:rsidRPr="00641543">
        <w:rPr>
          <w:rFonts w:ascii="Times New Roman" w:hAnsi="Times New Roman" w:cs="Times New Roman"/>
          <w:sz w:val="24"/>
          <w:szCs w:val="24"/>
        </w:rPr>
        <w:t>-2025.</w:t>
      </w:r>
    </w:p>
    <w:p w:rsidR="005456DA" w:rsidRPr="00641543" w:rsidRDefault="005456DA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543" w:rsidRDefault="00641543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I Załącznik nr 1</w:t>
      </w:r>
    </w:p>
    <w:p w:rsidR="005456DA" w:rsidRPr="00641543" w:rsidRDefault="005456DA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1543" w:rsidRPr="00641543" w:rsidRDefault="00641543" w:rsidP="005456DA">
      <w:pPr>
        <w:numPr>
          <w:ilvl w:val="0"/>
          <w:numId w:val="1"/>
        </w:num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Dokonano zmiany</w:t>
      </w:r>
      <w:r>
        <w:rPr>
          <w:rFonts w:ascii="Times New Roman" w:hAnsi="Times New Roman" w:cs="Times New Roman"/>
          <w:sz w:val="24"/>
          <w:szCs w:val="24"/>
        </w:rPr>
        <w:t xml:space="preserve"> informacji w zakresie roku 2020</w:t>
      </w:r>
      <w:r w:rsidRPr="00641543">
        <w:rPr>
          <w:rFonts w:ascii="Times New Roman" w:hAnsi="Times New Roman" w:cs="Times New Roman"/>
          <w:sz w:val="24"/>
          <w:szCs w:val="24"/>
        </w:rPr>
        <w:t xml:space="preserve"> wprowadzając faktyczne wykonanie:</w:t>
      </w:r>
    </w:p>
    <w:p w:rsidR="00641543" w:rsidRPr="005456DA" w:rsidRDefault="00641543" w:rsidP="005456DA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</w:rPr>
        <w:t xml:space="preserve"> wykonane dochody ogółem wynoszą – 17.010.682,12 zł</w:t>
      </w:r>
    </w:p>
    <w:p w:rsidR="00641543" w:rsidRPr="00641543" w:rsidRDefault="00641543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tym:</w:t>
      </w:r>
    </w:p>
    <w:p w:rsidR="00641543" w:rsidRPr="00641543" w:rsidRDefault="00641543" w:rsidP="005456D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dochody bieżące  - </w:t>
      </w:r>
      <w:r>
        <w:rPr>
          <w:rFonts w:ascii="Times New Roman" w:hAnsi="Times New Roman" w:cs="Times New Roman"/>
          <w:sz w:val="24"/>
          <w:szCs w:val="24"/>
        </w:rPr>
        <w:t>16.435.289,54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z tego: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- udziały we wpływach z podatku dochodowego od osób fizycznych  – 1.</w:t>
      </w:r>
      <w:r>
        <w:rPr>
          <w:rFonts w:ascii="Times New Roman" w:hAnsi="Times New Roman" w:cs="Times New Roman"/>
          <w:sz w:val="24"/>
          <w:szCs w:val="24"/>
        </w:rPr>
        <w:t>742.940,00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udziały we wpływach z podatku dochodowego od osób prawnych – </w:t>
      </w:r>
      <w:r>
        <w:rPr>
          <w:rFonts w:ascii="Times New Roman" w:hAnsi="Times New Roman" w:cs="Times New Roman"/>
          <w:sz w:val="24"/>
          <w:szCs w:val="24"/>
        </w:rPr>
        <w:t>10.871,48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pozostałe dochody bieżące  kwota – </w:t>
      </w:r>
      <w:r>
        <w:rPr>
          <w:rFonts w:ascii="Times New Roman" w:hAnsi="Times New Roman" w:cs="Times New Roman"/>
          <w:sz w:val="24"/>
          <w:szCs w:val="24"/>
        </w:rPr>
        <w:t>2.830.608,76 zł</w:t>
      </w:r>
      <w:r w:rsidRPr="00641543">
        <w:rPr>
          <w:rFonts w:ascii="Times New Roman" w:hAnsi="Times New Roman" w:cs="Times New Roman"/>
          <w:sz w:val="24"/>
          <w:szCs w:val="24"/>
        </w:rPr>
        <w:t xml:space="preserve"> (w tym podatek od nieruchomości – </w:t>
      </w:r>
      <w:r>
        <w:rPr>
          <w:rFonts w:ascii="Times New Roman" w:hAnsi="Times New Roman" w:cs="Times New Roman"/>
          <w:sz w:val="24"/>
          <w:szCs w:val="24"/>
        </w:rPr>
        <w:t>454.487,56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zł)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subwencja ogólna – </w:t>
      </w:r>
      <w:r>
        <w:rPr>
          <w:rFonts w:ascii="Times New Roman" w:hAnsi="Times New Roman" w:cs="Times New Roman"/>
          <w:sz w:val="24"/>
          <w:szCs w:val="24"/>
        </w:rPr>
        <w:t>5.570.943,00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dotacje i środki przeznaczone na cele bieżące  – </w:t>
      </w:r>
      <w:r>
        <w:rPr>
          <w:rFonts w:ascii="Times New Roman" w:hAnsi="Times New Roman" w:cs="Times New Roman"/>
          <w:sz w:val="24"/>
          <w:szCs w:val="24"/>
        </w:rPr>
        <w:t>6.279.926,30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641543" w:rsidRPr="00641543" w:rsidRDefault="00641543" w:rsidP="005456D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dochody majątkowe  – </w:t>
      </w:r>
      <w:r>
        <w:rPr>
          <w:rFonts w:ascii="Times New Roman" w:hAnsi="Times New Roman" w:cs="Times New Roman"/>
          <w:sz w:val="24"/>
          <w:szCs w:val="24"/>
        </w:rPr>
        <w:t>575.392,58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z tego: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ze sprzedaży majątku – </w:t>
      </w:r>
      <w:r>
        <w:rPr>
          <w:rFonts w:ascii="Times New Roman" w:hAnsi="Times New Roman" w:cs="Times New Roman"/>
          <w:sz w:val="24"/>
          <w:szCs w:val="24"/>
        </w:rPr>
        <w:t>3.784,71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dotacje oraz środki przeznaczone na inwestycje – </w:t>
      </w:r>
      <w:r>
        <w:rPr>
          <w:rFonts w:ascii="Times New Roman" w:hAnsi="Times New Roman" w:cs="Times New Roman"/>
          <w:sz w:val="24"/>
          <w:szCs w:val="24"/>
        </w:rPr>
        <w:t>571.607,87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5456DA" w:rsidRPr="00641543" w:rsidRDefault="005456DA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543" w:rsidRPr="00641543" w:rsidRDefault="005456DA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wykonane wydatki ogółem wynoszą – </w:t>
      </w:r>
      <w:r w:rsidR="00641543">
        <w:rPr>
          <w:rFonts w:ascii="Times New Roman" w:hAnsi="Times New Roman" w:cs="Times New Roman"/>
          <w:sz w:val="24"/>
          <w:szCs w:val="24"/>
        </w:rPr>
        <w:t>15.892.646,02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1543" w:rsidRPr="00641543" w:rsidRDefault="005456DA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1543" w:rsidRPr="00641543">
        <w:rPr>
          <w:rFonts w:ascii="Times New Roman" w:hAnsi="Times New Roman" w:cs="Times New Roman"/>
          <w:sz w:val="24"/>
          <w:szCs w:val="24"/>
        </w:rPr>
        <w:t>w tym</w:t>
      </w:r>
    </w:p>
    <w:p w:rsidR="00641543" w:rsidRPr="00641543" w:rsidRDefault="00641543" w:rsidP="005456D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wydatki bieżące wynoszą – </w:t>
      </w:r>
      <w:r>
        <w:rPr>
          <w:rFonts w:ascii="Times New Roman" w:hAnsi="Times New Roman" w:cs="Times New Roman"/>
          <w:sz w:val="24"/>
          <w:szCs w:val="24"/>
        </w:rPr>
        <w:t>15.510.624,61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z tego: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wydatki na obsługę długu – </w:t>
      </w:r>
      <w:r>
        <w:rPr>
          <w:rFonts w:ascii="Times New Roman" w:hAnsi="Times New Roman" w:cs="Times New Roman"/>
          <w:sz w:val="24"/>
          <w:szCs w:val="24"/>
        </w:rPr>
        <w:t>31.211,23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- wydatki na wynagrodzenia i składki od nich naliczone – 5.</w:t>
      </w:r>
      <w:r>
        <w:rPr>
          <w:rFonts w:ascii="Times New Roman" w:hAnsi="Times New Roman" w:cs="Times New Roman"/>
          <w:sz w:val="24"/>
          <w:szCs w:val="24"/>
        </w:rPr>
        <w:t>386.533,86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641543" w:rsidRPr="00641543" w:rsidRDefault="00641543" w:rsidP="005456D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wydatki majątkowe wynoszą – </w:t>
      </w:r>
      <w:r>
        <w:rPr>
          <w:rFonts w:ascii="Times New Roman" w:hAnsi="Times New Roman" w:cs="Times New Roman"/>
          <w:sz w:val="24"/>
          <w:szCs w:val="24"/>
        </w:rPr>
        <w:t>382.021,41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z tego:</w:t>
      </w:r>
    </w:p>
    <w:p w:rsid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inwestycje i zakupy inwestycyjne – </w:t>
      </w:r>
      <w:r>
        <w:rPr>
          <w:rFonts w:ascii="Times New Roman" w:hAnsi="Times New Roman" w:cs="Times New Roman"/>
          <w:sz w:val="24"/>
          <w:szCs w:val="24"/>
        </w:rPr>
        <w:t>382.021,41 zł;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o charakterze dotacyjnym na inwestycje i zakupy inwestycyjne – 100.000,00 zł</w:t>
      </w:r>
    </w:p>
    <w:p w:rsidR="00641543" w:rsidRDefault="00641543" w:rsidP="005456DA">
      <w:pPr>
        <w:pStyle w:val="Akapitzlist"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</w:rPr>
        <w:t xml:space="preserve">wynik budżetu wyniósł </w:t>
      </w:r>
      <w:r w:rsidR="001710EE" w:rsidRPr="005456DA">
        <w:rPr>
          <w:rFonts w:ascii="Times New Roman" w:hAnsi="Times New Roman" w:cs="Times New Roman"/>
          <w:sz w:val="24"/>
          <w:szCs w:val="24"/>
        </w:rPr>
        <w:t>1.118.036,10</w:t>
      </w:r>
      <w:r w:rsidRPr="005456DA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456DA" w:rsidRDefault="005456DA" w:rsidP="005456DA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6DA" w:rsidRDefault="005456DA" w:rsidP="005456DA">
      <w:pPr>
        <w:pStyle w:val="Akapitzlist"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przeciwdziałaniem COVID-19 </w:t>
      </w:r>
    </w:p>
    <w:p w:rsidR="005456DA" w:rsidRDefault="005456DA" w:rsidP="005456DA">
      <w:pPr>
        <w:pStyle w:val="Akapitzlist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na 3 kwartały 2020 wyniosły kwotę 22.000,00 zł;</w:t>
      </w:r>
    </w:p>
    <w:p w:rsidR="005456DA" w:rsidRDefault="005456DA" w:rsidP="005456DA">
      <w:pPr>
        <w:pStyle w:val="Akapitzlist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 na koniec 2020 wyniosły kwotę 18.964,98 zł;</w:t>
      </w:r>
    </w:p>
    <w:p w:rsidR="005456DA" w:rsidRPr="005456DA" w:rsidRDefault="005456DA" w:rsidP="005456DA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1543" w:rsidRPr="005456DA" w:rsidRDefault="001710EE" w:rsidP="005456D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</w:rPr>
        <w:t>W wierszu obejmującym dane 2021</w:t>
      </w:r>
      <w:r w:rsidR="00641543" w:rsidRPr="005456DA">
        <w:rPr>
          <w:rFonts w:ascii="Times New Roman" w:hAnsi="Times New Roman" w:cs="Times New Roman"/>
          <w:sz w:val="24"/>
          <w:szCs w:val="24"/>
        </w:rPr>
        <w:t xml:space="preserve"> roku wprowadzono zmiany w zakresie dochodów i wydatków zgodnie ze zmianami Uchwały Budż</w:t>
      </w:r>
      <w:r w:rsidRPr="005456DA">
        <w:rPr>
          <w:rFonts w:ascii="Times New Roman" w:hAnsi="Times New Roman" w:cs="Times New Roman"/>
          <w:sz w:val="24"/>
          <w:szCs w:val="24"/>
        </w:rPr>
        <w:t>etowej na 2021</w:t>
      </w:r>
      <w:r w:rsidR="00641543" w:rsidRPr="005456DA">
        <w:rPr>
          <w:rFonts w:ascii="Times New Roman" w:hAnsi="Times New Roman" w:cs="Times New Roman"/>
          <w:sz w:val="24"/>
          <w:szCs w:val="24"/>
        </w:rPr>
        <w:t xml:space="preserve"> rok wprowadzonymi w okresie po jej uchwaleniu</w:t>
      </w:r>
      <w:r w:rsidRPr="005456DA">
        <w:rPr>
          <w:rFonts w:ascii="Times New Roman" w:hAnsi="Times New Roman" w:cs="Times New Roman"/>
          <w:sz w:val="24"/>
          <w:szCs w:val="24"/>
        </w:rPr>
        <w:t>.</w:t>
      </w:r>
    </w:p>
    <w:p w:rsidR="005456DA" w:rsidRPr="005456DA" w:rsidRDefault="005456DA" w:rsidP="005456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41543" w:rsidRPr="00641543" w:rsidRDefault="00641543" w:rsidP="005456DA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lastRenderedPageBreak/>
        <w:t>W zakresie planu dochodów: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zwiększyły się dochody ogółem o kwotę </w:t>
      </w:r>
      <w:r w:rsidR="001710EE">
        <w:rPr>
          <w:rFonts w:ascii="Times New Roman" w:hAnsi="Times New Roman" w:cs="Times New Roman"/>
          <w:sz w:val="24"/>
          <w:szCs w:val="24"/>
        </w:rPr>
        <w:t>9.373,00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  i wynoszą 15.</w:t>
      </w:r>
      <w:r w:rsidR="001710EE">
        <w:rPr>
          <w:rFonts w:ascii="Times New Roman" w:hAnsi="Times New Roman" w:cs="Times New Roman"/>
          <w:sz w:val="24"/>
          <w:szCs w:val="24"/>
        </w:rPr>
        <w:t>278.750,00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zł, co w całości dotyczy dochodów bieżących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tym:</w:t>
      </w:r>
    </w:p>
    <w:p w:rsidR="00641543" w:rsidRPr="005456DA" w:rsidRDefault="00641543" w:rsidP="005456DA">
      <w:pPr>
        <w:pStyle w:val="Akapitzlist"/>
        <w:numPr>
          <w:ilvl w:val="0"/>
          <w:numId w:val="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</w:rPr>
        <w:t xml:space="preserve">dochody z tytułu dotacji i środków przeznaczonych na cele bieżące zwiększyły się o  kwotę </w:t>
      </w:r>
      <w:r w:rsidR="001710EE" w:rsidRPr="005456DA">
        <w:rPr>
          <w:rFonts w:ascii="Times New Roman" w:hAnsi="Times New Roman" w:cs="Times New Roman"/>
          <w:sz w:val="24"/>
          <w:szCs w:val="24"/>
        </w:rPr>
        <w:t>12.460,00</w:t>
      </w:r>
      <w:r w:rsidRPr="005456DA">
        <w:rPr>
          <w:rFonts w:ascii="Times New Roman" w:hAnsi="Times New Roman" w:cs="Times New Roman"/>
          <w:sz w:val="24"/>
          <w:szCs w:val="24"/>
        </w:rPr>
        <w:t xml:space="preserve"> zł i wynoszą </w:t>
      </w:r>
      <w:r w:rsidR="001710EE" w:rsidRPr="005456DA">
        <w:rPr>
          <w:rFonts w:ascii="Times New Roman" w:hAnsi="Times New Roman" w:cs="Times New Roman"/>
          <w:sz w:val="24"/>
          <w:szCs w:val="24"/>
        </w:rPr>
        <w:t>4.979.847,00</w:t>
      </w:r>
      <w:r w:rsidRPr="005456DA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1710EE" w:rsidRPr="005456DA" w:rsidRDefault="001710EE" w:rsidP="005456DA">
      <w:pPr>
        <w:pStyle w:val="Akapitzlist"/>
        <w:numPr>
          <w:ilvl w:val="0"/>
          <w:numId w:val="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</w:rPr>
        <w:t>pozostałe dochody bieżące zwiększyły się o kwotę 22.500,00 zł i wynoszą 2.987.550,00 zł;</w:t>
      </w:r>
    </w:p>
    <w:p w:rsidR="001710EE" w:rsidRPr="005456DA" w:rsidRDefault="001710EE" w:rsidP="005456DA">
      <w:pPr>
        <w:pStyle w:val="Akapitzlist"/>
        <w:numPr>
          <w:ilvl w:val="0"/>
          <w:numId w:val="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</w:rPr>
        <w:t>dochody z subwencji ogólnej zmniejszyły się o kwotę 25.587,00 zł i wynoszą 5.577.301,00 zł.</w:t>
      </w:r>
    </w:p>
    <w:p w:rsidR="00641543" w:rsidRPr="00641543" w:rsidRDefault="00641543" w:rsidP="005456DA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zakresie planu wydatków: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zwiększyły się wydatki ogółem o kwotę </w:t>
      </w:r>
      <w:r w:rsidR="001710EE">
        <w:rPr>
          <w:rFonts w:ascii="Times New Roman" w:hAnsi="Times New Roman" w:cs="Times New Roman"/>
          <w:sz w:val="24"/>
          <w:szCs w:val="24"/>
        </w:rPr>
        <w:t>545.373,00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 i wynoszą </w:t>
      </w:r>
      <w:r w:rsidR="001710EE">
        <w:rPr>
          <w:rFonts w:ascii="Times New Roman" w:hAnsi="Times New Roman" w:cs="Times New Roman"/>
          <w:sz w:val="24"/>
          <w:szCs w:val="24"/>
        </w:rPr>
        <w:t>15.314.750,00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tym;</w:t>
      </w:r>
    </w:p>
    <w:p w:rsidR="00641543" w:rsidRPr="00641543" w:rsidRDefault="00641543" w:rsidP="0054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            wydatki bieżące zwiększyły się o kwotę </w:t>
      </w:r>
      <w:r w:rsidR="001710EE">
        <w:rPr>
          <w:rFonts w:ascii="Times New Roman" w:hAnsi="Times New Roman" w:cs="Times New Roman"/>
          <w:sz w:val="24"/>
          <w:szCs w:val="24"/>
        </w:rPr>
        <w:t>15.373,00</w:t>
      </w:r>
      <w:r w:rsidRPr="00641543">
        <w:rPr>
          <w:rFonts w:ascii="Times New Roman" w:hAnsi="Times New Roman" w:cs="Times New Roman"/>
          <w:sz w:val="24"/>
          <w:szCs w:val="24"/>
        </w:rPr>
        <w:t xml:space="preserve"> zł z czego:</w:t>
      </w:r>
    </w:p>
    <w:p w:rsidR="00641543" w:rsidRPr="005456DA" w:rsidRDefault="00641543" w:rsidP="005456DA">
      <w:pPr>
        <w:pStyle w:val="Akapitzlist"/>
        <w:numPr>
          <w:ilvl w:val="0"/>
          <w:numId w:val="8"/>
        </w:numPr>
        <w:tabs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ind w:firstLine="114"/>
        <w:jc w:val="both"/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</w:rPr>
        <w:t xml:space="preserve">wydatki na wynagrodzenia zmniejszyły się o kwotę </w:t>
      </w:r>
      <w:r w:rsidR="001710EE" w:rsidRPr="005456DA">
        <w:rPr>
          <w:rFonts w:ascii="Times New Roman" w:hAnsi="Times New Roman" w:cs="Times New Roman"/>
          <w:sz w:val="24"/>
          <w:szCs w:val="24"/>
        </w:rPr>
        <w:t>22.283,47</w:t>
      </w:r>
      <w:r w:rsidRPr="005456DA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1710EE" w:rsidRDefault="001710EE" w:rsidP="005456DA">
      <w:pPr>
        <w:tabs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wydatki majątkowe zwiększyły się o kwotę 530.000,00 zł, co w całości dotyczy inwestycji i zakupów inwestycyjnych.</w:t>
      </w:r>
    </w:p>
    <w:p w:rsidR="005456DA" w:rsidRPr="00641543" w:rsidRDefault="005456DA" w:rsidP="005456DA">
      <w:pPr>
        <w:tabs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543" w:rsidRPr="00641543" w:rsidRDefault="00641543" w:rsidP="005456DA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zakresie wskaźnika spłat zobowiązań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 xml:space="preserve">- dopuszczalny wskaźnik spłat zobowiązań w latach objętych prognozą </w:t>
      </w:r>
      <w:r w:rsidR="00F54E5A">
        <w:rPr>
          <w:rFonts w:ascii="Times New Roman" w:hAnsi="Times New Roman" w:cs="Times New Roman"/>
          <w:sz w:val="24"/>
          <w:szCs w:val="24"/>
        </w:rPr>
        <w:t>uległ zmianie i kształtuje</w:t>
      </w:r>
      <w:r w:rsidRPr="00641543">
        <w:rPr>
          <w:rFonts w:ascii="Times New Roman" w:hAnsi="Times New Roman" w:cs="Times New Roman"/>
          <w:sz w:val="24"/>
          <w:szCs w:val="24"/>
        </w:rPr>
        <w:t xml:space="preserve"> się  następująco:</w:t>
      </w:r>
    </w:p>
    <w:p w:rsidR="00641543" w:rsidRPr="00641543" w:rsidRDefault="00F54E5A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roku wzrósł o </w:t>
      </w:r>
      <w:r w:rsidR="00152AD8">
        <w:rPr>
          <w:rFonts w:ascii="Times New Roman" w:hAnsi="Times New Roman" w:cs="Times New Roman"/>
          <w:sz w:val="24"/>
          <w:szCs w:val="24"/>
        </w:rPr>
        <w:t>2,11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% i wynosi </w:t>
      </w:r>
      <w:r w:rsidR="00152AD8">
        <w:rPr>
          <w:rFonts w:ascii="Times New Roman" w:hAnsi="Times New Roman" w:cs="Times New Roman"/>
          <w:sz w:val="24"/>
          <w:szCs w:val="24"/>
        </w:rPr>
        <w:t>12,10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641543" w:rsidRPr="00641543" w:rsidRDefault="00641543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543">
        <w:rPr>
          <w:rFonts w:ascii="Times New Roman" w:hAnsi="Times New Roman" w:cs="Times New Roman"/>
          <w:sz w:val="24"/>
          <w:szCs w:val="24"/>
        </w:rPr>
        <w:t>w 202</w:t>
      </w:r>
      <w:r w:rsidR="00F54E5A">
        <w:rPr>
          <w:rFonts w:ascii="Times New Roman" w:hAnsi="Times New Roman" w:cs="Times New Roman"/>
          <w:sz w:val="24"/>
          <w:szCs w:val="24"/>
        </w:rPr>
        <w:t>2</w:t>
      </w:r>
      <w:r w:rsidRPr="00641543">
        <w:rPr>
          <w:rFonts w:ascii="Times New Roman" w:hAnsi="Times New Roman" w:cs="Times New Roman"/>
          <w:sz w:val="24"/>
          <w:szCs w:val="24"/>
        </w:rPr>
        <w:t xml:space="preserve"> roku wzrósł o </w:t>
      </w:r>
      <w:r w:rsidR="00152AD8">
        <w:rPr>
          <w:rFonts w:ascii="Times New Roman" w:hAnsi="Times New Roman" w:cs="Times New Roman"/>
          <w:sz w:val="24"/>
          <w:szCs w:val="24"/>
        </w:rPr>
        <w:t>2,10</w:t>
      </w:r>
      <w:r w:rsidRPr="00641543">
        <w:rPr>
          <w:rFonts w:ascii="Times New Roman" w:hAnsi="Times New Roman" w:cs="Times New Roman"/>
          <w:sz w:val="24"/>
          <w:szCs w:val="24"/>
        </w:rPr>
        <w:t xml:space="preserve"> % i wynosi </w:t>
      </w:r>
      <w:r w:rsidR="00152AD8">
        <w:rPr>
          <w:rFonts w:ascii="Times New Roman" w:hAnsi="Times New Roman" w:cs="Times New Roman"/>
          <w:sz w:val="24"/>
          <w:szCs w:val="24"/>
        </w:rPr>
        <w:t>9,74</w:t>
      </w:r>
      <w:r w:rsidRPr="00641543">
        <w:rPr>
          <w:rFonts w:ascii="Times New Roman" w:hAnsi="Times New Roman" w:cs="Times New Roman"/>
          <w:sz w:val="24"/>
          <w:szCs w:val="24"/>
        </w:rPr>
        <w:t>%;</w:t>
      </w:r>
    </w:p>
    <w:p w:rsidR="00641543" w:rsidRDefault="00F54E5A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roku wzrósł o </w:t>
      </w:r>
      <w:r w:rsidR="00152AD8">
        <w:rPr>
          <w:rFonts w:ascii="Times New Roman" w:hAnsi="Times New Roman" w:cs="Times New Roman"/>
          <w:sz w:val="24"/>
          <w:szCs w:val="24"/>
        </w:rPr>
        <w:t>2,10</w:t>
      </w:r>
      <w:r w:rsidR="00641543" w:rsidRPr="00641543">
        <w:rPr>
          <w:rFonts w:ascii="Times New Roman" w:hAnsi="Times New Roman" w:cs="Times New Roman"/>
          <w:sz w:val="24"/>
          <w:szCs w:val="24"/>
        </w:rPr>
        <w:t xml:space="preserve"> % i wynosi </w:t>
      </w:r>
      <w:r w:rsidR="00152AD8">
        <w:rPr>
          <w:rFonts w:ascii="Times New Roman" w:hAnsi="Times New Roman" w:cs="Times New Roman"/>
          <w:sz w:val="24"/>
          <w:szCs w:val="24"/>
        </w:rPr>
        <w:t>7,65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54E5A" w:rsidRDefault="00F54E5A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2024</w:t>
      </w:r>
      <w:r w:rsidRPr="00641543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zmalał</w:t>
      </w:r>
      <w:r w:rsidRPr="00641543">
        <w:rPr>
          <w:rFonts w:ascii="Times New Roman" w:hAnsi="Times New Roman" w:cs="Times New Roman"/>
          <w:sz w:val="24"/>
          <w:szCs w:val="24"/>
        </w:rPr>
        <w:t xml:space="preserve"> </w:t>
      </w:r>
      <w:r w:rsidR="00152AD8">
        <w:rPr>
          <w:rFonts w:ascii="Times New Roman" w:hAnsi="Times New Roman" w:cs="Times New Roman"/>
          <w:sz w:val="24"/>
          <w:szCs w:val="24"/>
        </w:rPr>
        <w:t>0,01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543">
        <w:rPr>
          <w:rFonts w:ascii="Times New Roman" w:hAnsi="Times New Roman" w:cs="Times New Roman"/>
          <w:sz w:val="24"/>
          <w:szCs w:val="24"/>
        </w:rPr>
        <w:t xml:space="preserve">% i wynosi </w:t>
      </w:r>
      <w:r w:rsidR="00152AD8">
        <w:rPr>
          <w:rFonts w:ascii="Times New Roman" w:hAnsi="Times New Roman" w:cs="Times New Roman"/>
          <w:sz w:val="24"/>
          <w:szCs w:val="24"/>
        </w:rPr>
        <w:t>6,71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54E5A" w:rsidRPr="00641543" w:rsidRDefault="00F54E5A" w:rsidP="005456D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EE" w:rsidRPr="001710EE" w:rsidRDefault="001710EE" w:rsidP="005456DA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EE">
        <w:rPr>
          <w:rFonts w:ascii="Times New Roman" w:hAnsi="Times New Roman" w:cs="Times New Roman"/>
          <w:sz w:val="24"/>
          <w:szCs w:val="24"/>
        </w:rPr>
        <w:t>d) W zakresie wyniku budżetu</w:t>
      </w:r>
    </w:p>
    <w:p w:rsidR="001710EE" w:rsidRDefault="001710EE" w:rsidP="005456D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EE">
        <w:rPr>
          <w:rFonts w:ascii="Times New Roman" w:hAnsi="Times New Roman" w:cs="Times New Roman"/>
          <w:sz w:val="24"/>
          <w:szCs w:val="24"/>
        </w:rPr>
        <w:t>Zmienił się planowany</w:t>
      </w:r>
      <w:r>
        <w:rPr>
          <w:rFonts w:ascii="Times New Roman" w:hAnsi="Times New Roman" w:cs="Times New Roman"/>
          <w:sz w:val="24"/>
          <w:szCs w:val="24"/>
        </w:rPr>
        <w:t xml:space="preserve"> wynik wykonania budżetu na 2021</w:t>
      </w:r>
      <w:r w:rsidRPr="001710EE">
        <w:rPr>
          <w:rFonts w:ascii="Times New Roman" w:hAnsi="Times New Roman" w:cs="Times New Roman"/>
          <w:sz w:val="24"/>
          <w:szCs w:val="24"/>
        </w:rPr>
        <w:t xml:space="preserve"> rok. Planowano na etapie uchwalania budżetu nadwyżkę budżetową w kwocie 500.000,00 zł. Po wprowadzeniu do planu budżetu wol</w:t>
      </w:r>
      <w:r>
        <w:rPr>
          <w:rFonts w:ascii="Times New Roman" w:hAnsi="Times New Roman" w:cs="Times New Roman"/>
          <w:sz w:val="24"/>
          <w:szCs w:val="24"/>
        </w:rPr>
        <w:t>nych środków budżetowych za 2020 rok w kwocie 536</w:t>
      </w:r>
      <w:r w:rsidRPr="001710EE">
        <w:rPr>
          <w:rFonts w:ascii="Times New Roman" w:hAnsi="Times New Roman" w:cs="Times New Roman"/>
          <w:sz w:val="24"/>
          <w:szCs w:val="24"/>
        </w:rPr>
        <w:t xml:space="preserve">.000,00 zł wystąpił deficyt w kwocie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710EE">
        <w:rPr>
          <w:rFonts w:ascii="Times New Roman" w:hAnsi="Times New Roman" w:cs="Times New Roman"/>
          <w:sz w:val="24"/>
          <w:szCs w:val="24"/>
        </w:rPr>
        <w:t>.000,00 zł.</w:t>
      </w:r>
    </w:p>
    <w:p w:rsidR="003338E7" w:rsidRDefault="005456DA" w:rsidP="003338E7">
      <w:pPr>
        <w:pStyle w:val="Akapitzlist"/>
        <w:numPr>
          <w:ilvl w:val="0"/>
          <w:numId w:val="3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E7">
        <w:rPr>
          <w:rFonts w:ascii="Times New Roman" w:hAnsi="Times New Roman" w:cs="Times New Roman"/>
          <w:sz w:val="24"/>
          <w:szCs w:val="24"/>
        </w:rPr>
        <w:t>Wydatki planowane na 2021 rok związane z przeciwdziałaniem COVID-19 wynoszą    2.500,00 zł</w:t>
      </w:r>
    </w:p>
    <w:p w:rsidR="003338E7" w:rsidRPr="003338E7" w:rsidRDefault="003338E7" w:rsidP="003338E7">
      <w:pPr>
        <w:pStyle w:val="Akapitzlist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456DA" w:rsidRDefault="005456DA" w:rsidP="005456DA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Wiceprzewodnicząca Rady</w:t>
      </w:r>
    </w:p>
    <w:p w:rsidR="003338E7" w:rsidRPr="005456DA" w:rsidRDefault="003338E7" w:rsidP="005456DA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(-) Maria Obidowska</w:t>
      </w:r>
      <w:bookmarkStart w:id="0" w:name="_GoBack"/>
      <w:bookmarkEnd w:id="0"/>
    </w:p>
    <w:p w:rsidR="00C14BA4" w:rsidRDefault="00C14BA4" w:rsidP="005456DA">
      <w:pPr>
        <w:spacing w:line="240" w:lineRule="auto"/>
        <w:ind w:left="360"/>
      </w:pPr>
    </w:p>
    <w:sectPr w:rsidR="00C14BA4" w:rsidSect="00C75A5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50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86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22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58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194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30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66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022" w:hanging="14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4F5694A"/>
    <w:multiLevelType w:val="hybridMultilevel"/>
    <w:tmpl w:val="41CA3E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95B59"/>
    <w:multiLevelType w:val="hybridMultilevel"/>
    <w:tmpl w:val="5B6212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7D47F8"/>
    <w:multiLevelType w:val="hybridMultilevel"/>
    <w:tmpl w:val="8A4E4D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EA7827"/>
    <w:multiLevelType w:val="hybridMultilevel"/>
    <w:tmpl w:val="8D2095AC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28C672F7"/>
    <w:multiLevelType w:val="hybridMultilevel"/>
    <w:tmpl w:val="8E78FC2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353B59BA"/>
    <w:multiLevelType w:val="hybridMultilevel"/>
    <w:tmpl w:val="26167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43"/>
    <w:rsid w:val="0009138E"/>
    <w:rsid w:val="00152AD8"/>
    <w:rsid w:val="001710EE"/>
    <w:rsid w:val="003338E7"/>
    <w:rsid w:val="005456DA"/>
    <w:rsid w:val="00641543"/>
    <w:rsid w:val="00C14BA4"/>
    <w:rsid w:val="00F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9BDBA-CE04-42FF-A071-5C7623E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E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2021-03-22T10:00:00Z</cp:lastPrinted>
  <dcterms:created xsi:type="dcterms:W3CDTF">2021-04-09T10:27:00Z</dcterms:created>
  <dcterms:modified xsi:type="dcterms:W3CDTF">2021-04-09T10:27:00Z</dcterms:modified>
</cp:coreProperties>
</file>